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1" w:rsidRDefault="0064059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5267"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4059C">
        <w:rPr>
          <w:rFonts w:ascii="Arial" w:hAnsi="Arial" w:cs="Arial"/>
          <w:sz w:val="20"/>
          <w:szCs w:val="20"/>
        </w:rPr>
        <w:t>30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4059C" w:rsidRPr="0064059C">
        <w:rPr>
          <w:rFonts w:ascii="Arial" w:hAnsi="Arial" w:cs="Arial"/>
          <w:sz w:val="20"/>
          <w:szCs w:val="20"/>
        </w:rPr>
        <w:t>Bao</w:t>
      </w:r>
      <w:proofErr w:type="spellEnd"/>
      <w:r w:rsidR="0064059C" w:rsidRPr="006405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059C" w:rsidRPr="0064059C">
        <w:rPr>
          <w:rFonts w:ascii="Arial" w:hAnsi="Arial" w:cs="Arial"/>
          <w:sz w:val="20"/>
          <w:szCs w:val="20"/>
        </w:rPr>
        <w:t>Loc</w:t>
      </w:r>
      <w:proofErr w:type="spellEnd"/>
      <w:r w:rsidR="0064059C" w:rsidRPr="0064059C">
        <w:rPr>
          <w:rFonts w:ascii="Arial" w:hAnsi="Arial" w:cs="Arial"/>
          <w:sz w:val="20"/>
          <w:szCs w:val="20"/>
        </w:rPr>
        <w:t xml:space="preserve"> City Urban Projects Joint Stock Company</w:t>
      </w:r>
      <w:r w:rsidR="0064059C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5267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81611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>Article 1: Approve strategies, business plans and</w:t>
      </w:r>
      <w:r w:rsidR="00581611">
        <w:rPr>
          <w:rFonts w:ascii="Arial" w:hAnsi="Arial" w:cs="Arial"/>
          <w:sz w:val="20"/>
          <w:szCs w:val="20"/>
        </w:rPr>
        <w:t xml:space="preserve"> development investment plans for</w:t>
      </w:r>
      <w:r w:rsidRPr="0064059C">
        <w:rPr>
          <w:rFonts w:ascii="Arial" w:hAnsi="Arial" w:cs="Arial"/>
          <w:sz w:val="20"/>
          <w:szCs w:val="20"/>
        </w:rPr>
        <w:t xml:space="preserve"> 2020 with the following targets: </w:t>
      </w:r>
    </w:p>
    <w:p w:rsidR="00581611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 xml:space="preserve">Unit: </w:t>
      </w:r>
      <w:r w:rsidR="00581611">
        <w:rPr>
          <w:rFonts w:ascii="Arial" w:hAnsi="Arial" w:cs="Arial"/>
          <w:sz w:val="20"/>
          <w:szCs w:val="20"/>
        </w:rPr>
        <w:t xml:space="preserve">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930"/>
        <w:gridCol w:w="1998"/>
      </w:tblGrid>
      <w:tr w:rsidR="00581611" w:rsidTr="00581611">
        <w:tc>
          <w:tcPr>
            <w:tcW w:w="648" w:type="dxa"/>
          </w:tcPr>
          <w:p w:rsidR="00581611" w:rsidRDefault="005816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30" w:type="dxa"/>
          </w:tcPr>
          <w:p w:rsidR="00581611" w:rsidRDefault="005816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98" w:type="dxa"/>
          </w:tcPr>
          <w:p w:rsidR="00581611" w:rsidRDefault="005816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581611" w:rsidTr="00581611">
        <w:tc>
          <w:tcPr>
            <w:tcW w:w="648" w:type="dxa"/>
          </w:tcPr>
          <w:p w:rsidR="00581611" w:rsidRDefault="005816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0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of selling goods and services</w:t>
            </w:r>
          </w:p>
        </w:tc>
        <w:tc>
          <w:tcPr>
            <w:tcW w:w="1998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48,000</w:t>
            </w:r>
          </w:p>
        </w:tc>
      </w:tr>
      <w:tr w:rsidR="00581611" w:rsidTr="00581611">
        <w:tc>
          <w:tcPr>
            <w:tcW w:w="648" w:type="dxa"/>
          </w:tcPr>
          <w:p w:rsidR="00581611" w:rsidRDefault="005816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930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Public service activities</w:t>
            </w:r>
          </w:p>
        </w:tc>
        <w:tc>
          <w:tcPr>
            <w:tcW w:w="1998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35,112</w:t>
            </w:r>
          </w:p>
        </w:tc>
      </w:tr>
      <w:tr w:rsidR="00581611" w:rsidTr="00581611">
        <w:tc>
          <w:tcPr>
            <w:tcW w:w="648" w:type="dxa"/>
          </w:tcPr>
          <w:p w:rsidR="00581611" w:rsidRDefault="005816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930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Construction and other activities</w:t>
            </w:r>
          </w:p>
        </w:tc>
        <w:tc>
          <w:tcPr>
            <w:tcW w:w="1998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6,070</w:t>
            </w:r>
          </w:p>
        </w:tc>
      </w:tr>
      <w:tr w:rsidR="00581611" w:rsidTr="00581611">
        <w:tc>
          <w:tcPr>
            <w:tcW w:w="648" w:type="dxa"/>
          </w:tcPr>
          <w:p w:rsidR="00581611" w:rsidRDefault="0058161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930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Revenue from environmental services</w:t>
            </w:r>
          </w:p>
        </w:tc>
        <w:tc>
          <w:tcPr>
            <w:tcW w:w="1998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6,818</w:t>
            </w:r>
          </w:p>
        </w:tc>
      </w:tr>
      <w:tr w:rsidR="00581611" w:rsidTr="00581611">
        <w:tc>
          <w:tcPr>
            <w:tcW w:w="648" w:type="dxa"/>
          </w:tcPr>
          <w:p w:rsidR="00581611" w:rsidRDefault="004930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0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98" w:type="dxa"/>
          </w:tcPr>
          <w:p w:rsidR="00581611" w:rsidRDefault="00FD7A2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</w:tr>
      <w:tr w:rsidR="00493039" w:rsidTr="00581611">
        <w:tc>
          <w:tcPr>
            <w:tcW w:w="648" w:type="dxa"/>
          </w:tcPr>
          <w:p w:rsidR="00493039" w:rsidRDefault="004930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30" w:type="dxa"/>
          </w:tcPr>
          <w:p w:rsidR="00493039" w:rsidRPr="0064059C" w:rsidRDefault="004930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Average income</w:t>
            </w:r>
            <w:r w:rsidR="007C48F5">
              <w:rPr>
                <w:rFonts w:ascii="Arial" w:hAnsi="Arial" w:cs="Arial"/>
                <w:sz w:val="20"/>
                <w:szCs w:val="20"/>
              </w:rPr>
              <w:t xml:space="preserve"> of employees (person/month)</w:t>
            </w:r>
          </w:p>
        </w:tc>
        <w:tc>
          <w:tcPr>
            <w:tcW w:w="1998" w:type="dxa"/>
          </w:tcPr>
          <w:p w:rsidR="00493039" w:rsidRPr="0064059C" w:rsidRDefault="007C48F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</w:tbl>
    <w:p w:rsidR="00581611" w:rsidRDefault="005816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415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 xml:space="preserve">Article 2: Approve the report of </w:t>
      </w:r>
      <w:r w:rsidR="007C48F5">
        <w:rPr>
          <w:rFonts w:ascii="Arial" w:hAnsi="Arial" w:cs="Arial"/>
          <w:sz w:val="20"/>
          <w:szCs w:val="20"/>
        </w:rPr>
        <w:t>the Board of Directors, evaluation</w:t>
      </w:r>
      <w:r w:rsidR="002A6415">
        <w:rPr>
          <w:rFonts w:ascii="Arial" w:hAnsi="Arial" w:cs="Arial"/>
          <w:sz w:val="20"/>
          <w:szCs w:val="20"/>
        </w:rPr>
        <w:t xml:space="preserve"> and</w:t>
      </w:r>
      <w:r w:rsidRPr="0064059C">
        <w:rPr>
          <w:rFonts w:ascii="Arial" w:hAnsi="Arial" w:cs="Arial"/>
          <w:sz w:val="20"/>
          <w:szCs w:val="20"/>
        </w:rPr>
        <w:t xml:space="preserve"> supervision</w:t>
      </w:r>
      <w:bookmarkStart w:id="0" w:name="_GoBack"/>
      <w:bookmarkEnd w:id="0"/>
      <w:r w:rsidRPr="0064059C">
        <w:rPr>
          <w:rFonts w:ascii="Arial" w:hAnsi="Arial" w:cs="Arial"/>
          <w:sz w:val="20"/>
          <w:szCs w:val="20"/>
        </w:rPr>
        <w:t xml:space="preserve"> of the Board of</w:t>
      </w:r>
      <w:r w:rsidR="002A6415">
        <w:rPr>
          <w:rFonts w:ascii="Arial" w:hAnsi="Arial" w:cs="Arial"/>
          <w:sz w:val="20"/>
          <w:szCs w:val="20"/>
        </w:rPr>
        <w:t xml:space="preserve"> Directors for</w:t>
      </w:r>
      <w:r w:rsidRPr="0064059C">
        <w:rPr>
          <w:rFonts w:ascii="Arial" w:hAnsi="Arial" w:cs="Arial"/>
          <w:sz w:val="20"/>
          <w:szCs w:val="20"/>
        </w:rPr>
        <w:t xml:space="preserve"> the </w:t>
      </w:r>
      <w:r w:rsidR="002A6415">
        <w:rPr>
          <w:rFonts w:ascii="Arial" w:hAnsi="Arial" w:cs="Arial"/>
          <w:sz w:val="20"/>
          <w:szCs w:val="20"/>
        </w:rPr>
        <w:t>Management Board</w:t>
      </w:r>
      <w:r w:rsidRPr="0064059C">
        <w:rPr>
          <w:rFonts w:ascii="Arial" w:hAnsi="Arial" w:cs="Arial"/>
          <w:sz w:val="20"/>
          <w:szCs w:val="20"/>
        </w:rPr>
        <w:t xml:space="preserve"> in 2019 and the plan </w:t>
      </w:r>
      <w:r w:rsidR="002A6415">
        <w:rPr>
          <w:rFonts w:ascii="Arial" w:hAnsi="Arial" w:cs="Arial"/>
          <w:sz w:val="20"/>
          <w:szCs w:val="20"/>
        </w:rPr>
        <w:t>for</w:t>
      </w:r>
      <w:r w:rsidRPr="0064059C">
        <w:rPr>
          <w:rFonts w:ascii="Arial" w:hAnsi="Arial" w:cs="Arial"/>
          <w:sz w:val="20"/>
          <w:szCs w:val="20"/>
        </w:rPr>
        <w:t xml:space="preserve"> 2020 </w:t>
      </w:r>
    </w:p>
    <w:p w:rsidR="0064059C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 xml:space="preserve">Article 3: Approve the total remuneration of the Board of Directors and the </w:t>
      </w:r>
      <w:r w:rsidR="002A6415">
        <w:rPr>
          <w:rFonts w:ascii="Arial" w:hAnsi="Arial" w:cs="Arial"/>
          <w:sz w:val="20"/>
          <w:szCs w:val="20"/>
        </w:rPr>
        <w:t>Supervisory Board</w:t>
      </w:r>
      <w:r w:rsidRPr="0064059C">
        <w:rPr>
          <w:rFonts w:ascii="Arial" w:hAnsi="Arial" w:cs="Arial"/>
          <w:sz w:val="20"/>
          <w:szCs w:val="20"/>
        </w:rPr>
        <w:t xml:space="preserve"> in 2020</w:t>
      </w:r>
      <w:r w:rsidR="002A6415">
        <w:rPr>
          <w:rFonts w:ascii="Arial" w:hAnsi="Arial" w:cs="Arial"/>
          <w:sz w:val="20"/>
          <w:szCs w:val="20"/>
        </w:rPr>
        <w:t>: VND</w:t>
      </w:r>
      <w:r w:rsidR="000355CF">
        <w:rPr>
          <w:rFonts w:ascii="Arial" w:hAnsi="Arial" w:cs="Arial"/>
          <w:sz w:val="20"/>
          <w:szCs w:val="20"/>
        </w:rPr>
        <w:t xml:space="preserve"> 283,200,000, i</w:t>
      </w:r>
      <w:r w:rsidRPr="0064059C">
        <w:rPr>
          <w:rFonts w:ascii="Arial" w:hAnsi="Arial" w:cs="Arial"/>
          <w:sz w:val="20"/>
          <w:szCs w:val="20"/>
        </w:rPr>
        <w:t>n which: Board of Directors</w:t>
      </w:r>
      <w:r w:rsidR="000355CF">
        <w:rPr>
          <w:rFonts w:ascii="Arial" w:hAnsi="Arial" w:cs="Arial"/>
          <w:sz w:val="20"/>
          <w:szCs w:val="20"/>
        </w:rPr>
        <w:t>:</w:t>
      </w:r>
      <w:r w:rsidRPr="0064059C">
        <w:rPr>
          <w:rFonts w:ascii="Arial" w:hAnsi="Arial" w:cs="Arial"/>
          <w:sz w:val="20"/>
          <w:szCs w:val="20"/>
        </w:rPr>
        <w:t xml:space="preserve"> VND 201,600,000, </w:t>
      </w:r>
      <w:r w:rsidR="000355CF">
        <w:rPr>
          <w:rFonts w:ascii="Arial" w:hAnsi="Arial" w:cs="Arial"/>
          <w:sz w:val="20"/>
          <w:szCs w:val="20"/>
        </w:rPr>
        <w:t>Supervisory Board: VND 81,600,000</w:t>
      </w:r>
    </w:p>
    <w:p w:rsidR="00695DB1" w:rsidRDefault="00695DB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</w:t>
      </w:r>
      <w:r w:rsidR="000355CF" w:rsidRPr="000355C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election of an auditing unit for</w:t>
      </w:r>
      <w:r w:rsidR="000355CF" w:rsidRPr="000355CF">
        <w:rPr>
          <w:rFonts w:ascii="Arial" w:hAnsi="Arial" w:cs="Arial"/>
          <w:sz w:val="20"/>
          <w:szCs w:val="20"/>
        </w:rPr>
        <w:t xml:space="preserve"> 2020: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0355CF" w:rsidRPr="000355CF">
        <w:rPr>
          <w:rFonts w:ascii="Arial" w:hAnsi="Arial" w:cs="Arial"/>
          <w:sz w:val="20"/>
          <w:szCs w:val="20"/>
        </w:rPr>
        <w:t xml:space="preserve"> assigns the Board of Directors together with the</w:t>
      </w:r>
      <w:r>
        <w:rPr>
          <w:rFonts w:ascii="Arial" w:hAnsi="Arial" w:cs="Arial"/>
          <w:sz w:val="20"/>
          <w:szCs w:val="20"/>
        </w:rPr>
        <w:t xml:space="preserve"> Supervisory Board to select an auditing unit for</w:t>
      </w:r>
      <w:r w:rsidR="000355CF" w:rsidRPr="000355CF">
        <w:rPr>
          <w:rFonts w:ascii="Arial" w:hAnsi="Arial" w:cs="Arial"/>
          <w:sz w:val="20"/>
          <w:szCs w:val="20"/>
        </w:rPr>
        <w:t xml:space="preserve"> 2020 in accordance </w:t>
      </w:r>
      <w:r>
        <w:rPr>
          <w:rFonts w:ascii="Arial" w:hAnsi="Arial" w:cs="Arial"/>
          <w:sz w:val="20"/>
          <w:szCs w:val="20"/>
        </w:rPr>
        <w:t>with the provisions of the Law</w:t>
      </w:r>
    </w:p>
    <w:p w:rsidR="00695DB1" w:rsidRDefault="000355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55CF">
        <w:rPr>
          <w:rFonts w:ascii="Arial" w:hAnsi="Arial" w:cs="Arial"/>
          <w:sz w:val="20"/>
          <w:szCs w:val="20"/>
        </w:rPr>
        <w:t xml:space="preserve">Article 5: Implementing provisions: </w:t>
      </w:r>
    </w:p>
    <w:p w:rsidR="00665940" w:rsidRDefault="00695DB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Board resolution</w:t>
      </w:r>
      <w:r w:rsidR="00665940">
        <w:rPr>
          <w:rFonts w:ascii="Arial" w:hAnsi="Arial" w:cs="Arial"/>
          <w:sz w:val="20"/>
          <w:szCs w:val="20"/>
        </w:rPr>
        <w:t xml:space="preserve"> was</w:t>
      </w:r>
      <w:r w:rsidR="000355CF" w:rsidRPr="000355CF">
        <w:rPr>
          <w:rFonts w:ascii="Arial" w:hAnsi="Arial" w:cs="Arial"/>
          <w:sz w:val="20"/>
          <w:szCs w:val="20"/>
        </w:rPr>
        <w:t xml:space="preserve"> approved by the Company's Annual G</w:t>
      </w:r>
      <w:r>
        <w:rPr>
          <w:rFonts w:ascii="Arial" w:hAnsi="Arial" w:cs="Arial"/>
          <w:sz w:val="20"/>
          <w:szCs w:val="20"/>
        </w:rPr>
        <w:t>eneral Meeting of Shareholders in 2020</w:t>
      </w:r>
      <w:r w:rsidR="00665940">
        <w:rPr>
          <w:rFonts w:ascii="Arial" w:hAnsi="Arial" w:cs="Arial"/>
          <w:sz w:val="20"/>
          <w:szCs w:val="20"/>
        </w:rPr>
        <w:t xml:space="preserve"> of</w:t>
      </w:r>
      <w:r w:rsidR="000355CF" w:rsidRPr="000355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40" w:rsidRPr="00665940">
        <w:rPr>
          <w:rFonts w:ascii="Arial" w:hAnsi="Arial" w:cs="Arial"/>
          <w:sz w:val="20"/>
          <w:szCs w:val="20"/>
        </w:rPr>
        <w:t>Bao</w:t>
      </w:r>
      <w:proofErr w:type="spellEnd"/>
      <w:r w:rsidR="00665940" w:rsidRPr="006659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940" w:rsidRPr="00665940">
        <w:rPr>
          <w:rFonts w:ascii="Arial" w:hAnsi="Arial" w:cs="Arial"/>
          <w:sz w:val="20"/>
          <w:szCs w:val="20"/>
        </w:rPr>
        <w:t>Loc</w:t>
      </w:r>
      <w:proofErr w:type="spellEnd"/>
      <w:r w:rsidR="00665940" w:rsidRPr="00665940">
        <w:rPr>
          <w:rFonts w:ascii="Arial" w:hAnsi="Arial" w:cs="Arial"/>
          <w:sz w:val="20"/>
          <w:szCs w:val="20"/>
        </w:rPr>
        <w:t xml:space="preserve"> City Urban Projects Joint Stock Company</w:t>
      </w:r>
      <w:r w:rsidR="00665940">
        <w:rPr>
          <w:rFonts w:ascii="Arial" w:hAnsi="Arial" w:cs="Arial"/>
          <w:sz w:val="20"/>
          <w:szCs w:val="20"/>
        </w:rPr>
        <w:t xml:space="preserve"> </w:t>
      </w:r>
      <w:r w:rsidR="000355CF" w:rsidRPr="000355CF">
        <w:rPr>
          <w:rFonts w:ascii="Arial" w:hAnsi="Arial" w:cs="Arial"/>
          <w:sz w:val="20"/>
          <w:szCs w:val="20"/>
        </w:rPr>
        <w:t>and too</w:t>
      </w:r>
      <w:r w:rsidR="00665940">
        <w:rPr>
          <w:rFonts w:ascii="Arial" w:hAnsi="Arial" w:cs="Arial"/>
          <w:sz w:val="20"/>
          <w:szCs w:val="20"/>
        </w:rPr>
        <w:t>k effect from the signing date</w:t>
      </w:r>
    </w:p>
    <w:p w:rsidR="000355CF" w:rsidRDefault="000355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55CF">
        <w:rPr>
          <w:rFonts w:ascii="Arial" w:hAnsi="Arial" w:cs="Arial"/>
          <w:sz w:val="20"/>
          <w:szCs w:val="20"/>
        </w:rPr>
        <w:t xml:space="preserve">All shareholders, Board of Directors, </w:t>
      </w:r>
      <w:r w:rsidR="00665940">
        <w:rPr>
          <w:rFonts w:ascii="Arial" w:hAnsi="Arial" w:cs="Arial"/>
          <w:sz w:val="20"/>
          <w:szCs w:val="20"/>
        </w:rPr>
        <w:t>Supervisory Board</w:t>
      </w:r>
      <w:r w:rsidRPr="000355CF">
        <w:rPr>
          <w:rFonts w:ascii="Arial" w:hAnsi="Arial" w:cs="Arial"/>
          <w:sz w:val="20"/>
          <w:szCs w:val="20"/>
        </w:rPr>
        <w:t xml:space="preserve">, </w:t>
      </w:r>
      <w:r w:rsidR="001047C6">
        <w:rPr>
          <w:rFonts w:ascii="Arial" w:hAnsi="Arial" w:cs="Arial"/>
          <w:sz w:val="20"/>
          <w:szCs w:val="20"/>
        </w:rPr>
        <w:t>and Management</w:t>
      </w:r>
      <w:r w:rsidR="00665940">
        <w:rPr>
          <w:rFonts w:ascii="Arial" w:hAnsi="Arial" w:cs="Arial"/>
          <w:sz w:val="20"/>
          <w:szCs w:val="20"/>
        </w:rPr>
        <w:t xml:space="preserve"> Board</w:t>
      </w:r>
      <w:r w:rsidRPr="000355CF">
        <w:rPr>
          <w:rFonts w:ascii="Arial" w:hAnsi="Arial" w:cs="Arial"/>
          <w:sz w:val="20"/>
          <w:szCs w:val="20"/>
        </w:rPr>
        <w:t>, depar</w:t>
      </w:r>
      <w:r w:rsidR="00665940">
        <w:rPr>
          <w:rFonts w:ascii="Arial" w:hAnsi="Arial" w:cs="Arial"/>
          <w:sz w:val="20"/>
          <w:szCs w:val="20"/>
        </w:rPr>
        <w:t>tments,</w:t>
      </w:r>
      <w:r w:rsidRPr="000355CF">
        <w:rPr>
          <w:rFonts w:ascii="Arial" w:hAnsi="Arial" w:cs="Arial"/>
          <w:sz w:val="20"/>
          <w:szCs w:val="20"/>
        </w:rPr>
        <w:t xml:space="preserve"> affiliated units and </w:t>
      </w:r>
      <w:r w:rsidR="001047C6">
        <w:rPr>
          <w:rFonts w:ascii="Arial" w:hAnsi="Arial" w:cs="Arial"/>
          <w:sz w:val="20"/>
          <w:szCs w:val="20"/>
        </w:rPr>
        <w:t xml:space="preserve">relevant </w:t>
      </w:r>
      <w:r w:rsidRPr="000355CF">
        <w:rPr>
          <w:rFonts w:ascii="Arial" w:hAnsi="Arial" w:cs="Arial"/>
          <w:sz w:val="20"/>
          <w:szCs w:val="20"/>
        </w:rPr>
        <w:t xml:space="preserve">individuals </w:t>
      </w:r>
      <w:r w:rsidR="001047C6">
        <w:rPr>
          <w:rFonts w:ascii="Arial" w:hAnsi="Arial" w:cs="Arial"/>
          <w:sz w:val="20"/>
          <w:szCs w:val="20"/>
        </w:rPr>
        <w:t xml:space="preserve">are responsible for </w:t>
      </w:r>
      <w:r w:rsidRPr="000355CF">
        <w:rPr>
          <w:rFonts w:ascii="Arial" w:hAnsi="Arial" w:cs="Arial"/>
          <w:sz w:val="20"/>
          <w:szCs w:val="20"/>
        </w:rPr>
        <w:t>implement</w:t>
      </w:r>
      <w:r w:rsidR="001047C6">
        <w:rPr>
          <w:rFonts w:ascii="Arial" w:hAnsi="Arial" w:cs="Arial"/>
          <w:sz w:val="20"/>
          <w:szCs w:val="20"/>
        </w:rPr>
        <w:t>ing</w:t>
      </w:r>
      <w:r w:rsidRPr="000355CF">
        <w:rPr>
          <w:rFonts w:ascii="Arial" w:hAnsi="Arial" w:cs="Arial"/>
          <w:sz w:val="20"/>
          <w:szCs w:val="20"/>
        </w:rPr>
        <w:t xml:space="preserve"> this Resolution </w:t>
      </w:r>
      <w:r w:rsidR="001047C6">
        <w:rPr>
          <w:rFonts w:ascii="Arial" w:hAnsi="Arial" w:cs="Arial"/>
          <w:sz w:val="20"/>
          <w:szCs w:val="20"/>
        </w:rPr>
        <w:t xml:space="preserve">in accordance with the law and Article 1 of </w:t>
      </w:r>
      <w:proofErr w:type="spellStart"/>
      <w:r w:rsidR="001047C6" w:rsidRPr="001047C6">
        <w:rPr>
          <w:rFonts w:ascii="Arial" w:hAnsi="Arial" w:cs="Arial"/>
          <w:sz w:val="20"/>
          <w:szCs w:val="20"/>
        </w:rPr>
        <w:t>Bao</w:t>
      </w:r>
      <w:proofErr w:type="spellEnd"/>
      <w:r w:rsidR="001047C6" w:rsidRPr="001047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7C6" w:rsidRPr="001047C6">
        <w:rPr>
          <w:rFonts w:ascii="Arial" w:hAnsi="Arial" w:cs="Arial"/>
          <w:sz w:val="20"/>
          <w:szCs w:val="20"/>
        </w:rPr>
        <w:t>Loc</w:t>
      </w:r>
      <w:proofErr w:type="spellEnd"/>
      <w:r w:rsidR="001047C6" w:rsidRPr="001047C6">
        <w:rPr>
          <w:rFonts w:ascii="Arial" w:hAnsi="Arial" w:cs="Arial"/>
          <w:sz w:val="20"/>
          <w:szCs w:val="20"/>
        </w:rPr>
        <w:t xml:space="preserve"> City Urban Projects Joint Stock Company</w:t>
      </w:r>
      <w:r w:rsidR="00E97BA8">
        <w:rPr>
          <w:rFonts w:ascii="Arial" w:hAnsi="Arial" w:cs="Arial"/>
          <w:sz w:val="20"/>
          <w:szCs w:val="20"/>
        </w:rPr>
        <w:t>.</w:t>
      </w:r>
    </w:p>
    <w:sectPr w:rsidR="000355CF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55CF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5061"/>
    <w:rsid w:val="000F76F2"/>
    <w:rsid w:val="001047C6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9161A"/>
    <w:rsid w:val="00296BF9"/>
    <w:rsid w:val="002A3D5D"/>
    <w:rsid w:val="002A5A98"/>
    <w:rsid w:val="002A6415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3039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161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059C"/>
    <w:rsid w:val="006468F5"/>
    <w:rsid w:val="00653D82"/>
    <w:rsid w:val="00662E88"/>
    <w:rsid w:val="00664834"/>
    <w:rsid w:val="00665940"/>
    <w:rsid w:val="006938BF"/>
    <w:rsid w:val="006948E2"/>
    <w:rsid w:val="00694B5D"/>
    <w:rsid w:val="00695ACD"/>
    <w:rsid w:val="00695DB1"/>
    <w:rsid w:val="006A7679"/>
    <w:rsid w:val="006B04E8"/>
    <w:rsid w:val="006B10DB"/>
    <w:rsid w:val="006B36E8"/>
    <w:rsid w:val="006B5267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48F5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D3231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E412C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A631D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047"/>
    <w:rsid w:val="00E7691C"/>
    <w:rsid w:val="00E96289"/>
    <w:rsid w:val="00E96D65"/>
    <w:rsid w:val="00E97BA8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D7A2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258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318</cp:revision>
  <dcterms:created xsi:type="dcterms:W3CDTF">2019-10-16T10:03:00Z</dcterms:created>
  <dcterms:modified xsi:type="dcterms:W3CDTF">2020-07-09T09:20:00Z</dcterms:modified>
</cp:coreProperties>
</file>